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BCCB8" w14:textId="5D5B137C" w:rsidR="00AE1E5E" w:rsidRPr="00AE1E5E" w:rsidRDefault="00AE1E5E" w:rsidP="00AE1E5E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 w:rsidRPr="00AE1E5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Додаток </w:t>
      </w:r>
      <w:r w:rsidR="00A428B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101</w:t>
      </w:r>
    </w:p>
    <w:p w14:paraId="00D98B89" w14:textId="77777777" w:rsidR="00AE1E5E" w:rsidRPr="00AE1E5E" w:rsidRDefault="00AE1E5E" w:rsidP="00AE1E5E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 w:rsidRPr="00AE1E5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до рішення виконкому</w:t>
      </w:r>
    </w:p>
    <w:p w14:paraId="34CAAE55" w14:textId="77777777" w:rsidR="00AE1E5E" w:rsidRPr="00AE1E5E" w:rsidRDefault="00AE1E5E" w:rsidP="00AE1E5E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 w:rsidRPr="00AE1E5E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районної у місті ради</w:t>
      </w:r>
    </w:p>
    <w:p w14:paraId="5E8EC91F" w14:textId="1AEC03EA" w:rsidR="00AE1E5E" w:rsidRPr="00AE1E5E" w:rsidRDefault="00A428B2" w:rsidP="00AE1E5E">
      <w:pPr>
        <w:suppressAutoHyphens w:val="0"/>
        <w:spacing w:after="0" w:line="240" w:lineRule="auto"/>
        <w:ind w:left="7080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0</w:t>
      </w:r>
      <w:r w:rsidR="00585E2C" w:rsidRPr="00585E2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1.0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  <w:r w:rsidR="00585E2C" w:rsidRPr="00585E2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.202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6</w:t>
      </w:r>
      <w:r w:rsidR="00585E2C" w:rsidRPr="00585E2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№ </w:t>
      </w:r>
      <w:r w:rsidR="005E3A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>1</w:t>
      </w:r>
      <w:r w:rsidR="00C2035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en-US"/>
        </w:rPr>
        <w:t xml:space="preserve"> </w:t>
      </w:r>
    </w:p>
    <w:p w14:paraId="01FFE9C6" w14:textId="3424C1E3" w:rsidR="00C3025A" w:rsidRDefault="00C3025A" w:rsidP="00C203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</w:pPr>
    </w:p>
    <w:p w14:paraId="51B80D79" w14:textId="7BF5CE41" w:rsidR="008533CC" w:rsidRDefault="00AE1E5E" w:rsidP="008533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 xml:space="preserve">ІНФОРМАЦІЙНА КАРТКА </w:t>
      </w:r>
      <w:r w:rsidR="00A428B2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 xml:space="preserve">№ </w:t>
      </w:r>
      <w:r w:rsidR="001556B3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40-</w:t>
      </w:r>
      <w:r w:rsidR="00A428B2">
        <w:rPr>
          <w:rFonts w:ascii="Times New Roman" w:hAnsi="Times New Roman" w:cs="Times New Roman"/>
          <w:b/>
          <w:sz w:val="24"/>
          <w:szCs w:val="24"/>
          <w:highlight w:val="white"/>
          <w:shd w:val="clear" w:color="auto" w:fill="00FF00"/>
          <w:lang w:val="uk-UA"/>
        </w:rPr>
        <w:t>51</w:t>
      </w:r>
    </w:p>
    <w:p w14:paraId="7CBAF92C" w14:textId="77777777" w:rsidR="00AE1E5E" w:rsidRPr="00266669" w:rsidRDefault="00AE1E5E" w:rsidP="008533C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highlight w:val="white"/>
          <w:shd w:val="clear" w:color="auto" w:fill="00FF00"/>
          <w:lang w:val="uk-UA"/>
        </w:rPr>
      </w:pPr>
    </w:p>
    <w:p w14:paraId="1CE9ABCF" w14:textId="77777777" w:rsidR="008533CC" w:rsidRPr="00266669" w:rsidRDefault="008533CC" w:rsidP="008533C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highlight w:val="white"/>
          <w:shd w:val="clear" w:color="auto" w:fill="00FF00"/>
          <w:lang w:val="uk-UA"/>
        </w:rPr>
      </w:pPr>
    </w:p>
    <w:p w14:paraId="4B70EE4E" w14:textId="0FD2389D" w:rsidR="008533CC" w:rsidRPr="00266669" w:rsidRDefault="00B96421" w:rsidP="00AE1E5E">
      <w:pPr>
        <w:spacing w:after="0" w:line="240" w:lineRule="auto"/>
        <w:ind w:right="-89"/>
        <w:jc w:val="both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Назва п</w:t>
      </w:r>
      <w:r w:rsidR="00921F4B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о</w:t>
      </w:r>
      <w:r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слуги</w:t>
      </w:r>
      <w:r w:rsidR="00AE1E5E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: Подання</w:t>
      </w:r>
      <w:r w:rsidR="00887AE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</w:t>
      </w:r>
      <w:r w:rsidR="00921F4B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заяви про надання </w:t>
      </w:r>
      <w:r w:rsidR="00887AE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компенсації </w:t>
      </w:r>
      <w:r w:rsidR="00921F4B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за пошкоджений</w:t>
      </w:r>
      <w:r w:rsidR="00887AE7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об’єкт нерухомого майна </w:t>
      </w:r>
      <w:r w:rsidR="001E11D5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внаслідок бойових дій, терористичних актів, диверсій, спричинених збройною агресією </w:t>
      </w:r>
      <w:r w:rsidR="00D85BA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Р</w:t>
      </w:r>
      <w:r w:rsidR="001E11D5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осійської</w:t>
      </w:r>
      <w:r w:rsidR="00D85BAC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Ф</w:t>
      </w:r>
      <w:r w:rsidR="001E11D5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>едерації</w:t>
      </w:r>
      <w:r w:rsidR="00AE1E5E">
        <w:rPr>
          <w:rFonts w:ascii="Times New Roman" w:hAnsi="Times New Roman" w:cs="Times New Roman"/>
          <w:b/>
          <w:i/>
          <w:sz w:val="24"/>
          <w:szCs w:val="24"/>
          <w:highlight w:val="white"/>
          <w:shd w:val="clear" w:color="auto" w:fill="00FF00"/>
          <w:lang w:val="uk-UA"/>
        </w:rPr>
        <w:t xml:space="preserve"> проти України</w:t>
      </w:r>
    </w:p>
    <w:p w14:paraId="4672F277" w14:textId="77777777" w:rsidR="008533CC" w:rsidRPr="00266669" w:rsidRDefault="008533CC" w:rsidP="00AE1E5E">
      <w:pPr>
        <w:spacing w:after="0" w:line="240" w:lineRule="auto"/>
        <w:ind w:right="-89"/>
        <w:jc w:val="both"/>
        <w:rPr>
          <w:rFonts w:ascii="Times New Roman" w:hAnsi="Times New Roman" w:cs="Times New Roman"/>
          <w:b/>
          <w:i/>
          <w:sz w:val="14"/>
          <w:szCs w:val="14"/>
          <w:highlight w:val="white"/>
          <w:shd w:val="clear" w:color="auto" w:fill="00FF00"/>
          <w:lang w:val="uk-UA"/>
        </w:rPr>
      </w:pPr>
    </w:p>
    <w:tbl>
      <w:tblPr>
        <w:tblW w:w="964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4"/>
        <w:gridCol w:w="3237"/>
        <w:gridCol w:w="5703"/>
      </w:tblGrid>
      <w:tr w:rsidR="008533CC" w:rsidRPr="00C20350" w14:paraId="3B7E3737" w14:textId="77777777" w:rsidTr="00B61FA1">
        <w:trPr>
          <w:trHeight w:val="171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7A2C59" w14:textId="77777777" w:rsidR="00AE1E5E" w:rsidRPr="00AE1E5E" w:rsidRDefault="00AE1E5E" w:rsidP="00AE1E5E">
            <w:pPr>
              <w:suppressAutoHyphens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AE1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Інформація про суб’єкта надання послуги </w:t>
            </w:r>
          </w:p>
          <w:p w14:paraId="42CC87B0" w14:textId="55044E0A" w:rsidR="008533CC" w:rsidRPr="00AE1E5E" w:rsidRDefault="00AE1E5E" w:rsidP="00AE1E5E">
            <w:pPr>
              <w:snapToGrid w:val="0"/>
              <w:spacing w:after="0" w:line="240" w:lineRule="auto"/>
              <w:jc w:val="center"/>
              <w:rPr>
                <w:highlight w:val="white"/>
                <w:lang w:val="uk-UA"/>
              </w:rPr>
            </w:pPr>
            <w:r w:rsidRPr="00AE1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8533CC" w:rsidRPr="00AE1E5E" w14:paraId="547056C9" w14:textId="77777777" w:rsidTr="004B1992">
        <w:trPr>
          <w:trHeight w:val="765"/>
        </w:trPr>
        <w:tc>
          <w:tcPr>
            <w:tcW w:w="394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4190F5F" w14:textId="7F37EB54" w:rsidR="008533CC" w:rsidRPr="00AE1E5E" w:rsidRDefault="004B1992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4B19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6F99EA" w14:textId="60A992DC" w:rsidR="008533CC" w:rsidRPr="00AE1E5E" w:rsidRDefault="004B1992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4B19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Центр адміністративних послуг «Віза» («Центр Дії») виконкому Криворізької міської ради (надалі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</w:t>
            </w:r>
            <w:r w:rsidR="00D85BAC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)</w:t>
            </w:r>
          </w:p>
        </w:tc>
      </w:tr>
      <w:tr w:rsidR="008533CC" w:rsidRPr="00AE1E5E" w14:paraId="0D51B6EB" w14:textId="77777777" w:rsidTr="004B199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E405F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882A2" w14:textId="294F1DA1" w:rsidR="008533CC" w:rsidRPr="00AE1E5E" w:rsidRDefault="008958A7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Місцезнаходження Ц</w:t>
            </w:r>
            <w:r w:rsidR="008533CC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ентру та його територіальних підрозділів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6E3E2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50101, м. Кривий Ріг, пл. Молодіжна, 1, </w:t>
            </w:r>
          </w:p>
          <w:p w14:paraId="17314353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Територіальні підрозділи Центру:</w:t>
            </w:r>
          </w:p>
          <w:p w14:paraId="57F0820B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Довгинцівський район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40B9D75B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Дніпровське шосе, буд. 11, каб. 102</w:t>
            </w:r>
          </w:p>
          <w:p w14:paraId="3487A576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Покровський район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52E36CD1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Костя Гордієнка, буд. 2, каб. 12</w:t>
            </w:r>
          </w:p>
          <w:p w14:paraId="79D27CAB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Інгулецький район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: </w:t>
            </w:r>
          </w:p>
          <w:p w14:paraId="1B0597CC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пр-т Південний, буд. 1     </w:t>
            </w:r>
          </w:p>
          <w:p w14:paraId="409D2156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Житловий масив Інгулець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6714AADE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14:paraId="1EEC038E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Саксаганський район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5F51308E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Володимира Великого, буд. 32, каб. 122</w:t>
            </w:r>
          </w:p>
          <w:p w14:paraId="48C0ACD9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b/>
                <w:sz w:val="24"/>
                <w:szCs w:val="24"/>
                <w:lang w:val="uk-UA" w:eastAsia="en-US"/>
              </w:rPr>
              <w:t>Тернівський район</w:t>
            </w: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22B3E4F0" w14:textId="53492B38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вул. Антон</w:t>
            </w:r>
            <w:r w:rsidR="00DD59C4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а Ігнатченка, буд. 1А,  каб. 127</w:t>
            </w:r>
          </w:p>
          <w:p w14:paraId="6A629870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en-US"/>
              </w:rPr>
              <w:t>Центрально-Міський район</w:t>
            </w:r>
            <w:r w:rsidRPr="00C203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637EE4F1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вул. Староярмаркова, буд. 44</w:t>
            </w:r>
          </w:p>
          <w:p w14:paraId="1621CCBE" w14:textId="77777777" w:rsidR="00C20350" w:rsidRPr="00C20350" w:rsidRDefault="00C20350" w:rsidP="00C2035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C203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Мобільні офіси муніципальних послуг, </w:t>
            </w:r>
          </w:p>
          <w:p w14:paraId="2689BE2E" w14:textId="29B84AAC" w:rsidR="00825B3E" w:rsidRPr="00AE1E5E" w:rsidRDefault="00C20350" w:rsidP="00C2035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C2035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кейси-адміністратори (за окремим графіком)</w:t>
            </w:r>
          </w:p>
        </w:tc>
      </w:tr>
      <w:tr w:rsidR="008533CC" w:rsidRPr="00AE1E5E" w14:paraId="7E4AA6FF" w14:textId="77777777" w:rsidTr="004B1992">
        <w:trPr>
          <w:trHeight w:val="3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2FE6F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7B07B" w14:textId="4C886408" w:rsidR="008533CC" w:rsidRPr="00AE1E5E" w:rsidRDefault="00F8405E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Інформація щодо режиму </w:t>
            </w:r>
            <w:r w:rsidR="008533CC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роботи Центру та його територіальних підрозділів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A52B8" w14:textId="30862B8B" w:rsidR="008958A7" w:rsidRPr="008958A7" w:rsidRDefault="008958A7" w:rsidP="008958A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Центр працює</w:t>
            </w:r>
            <w:r w:rsidR="00C2035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за попереднім записом</w:t>
            </w: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:</w:t>
            </w:r>
          </w:p>
          <w:p w14:paraId="2DE42AB2" w14:textId="77777777" w:rsidR="008958A7" w:rsidRPr="008958A7" w:rsidRDefault="008958A7" w:rsidP="008958A7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2546BDF1" w14:textId="77777777" w:rsidR="008958A7" w:rsidRPr="008958A7" w:rsidRDefault="008958A7" w:rsidP="008958A7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 w:firstLine="318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25F180C6" w14:textId="77777777" w:rsidR="008958A7" w:rsidRPr="008958A7" w:rsidRDefault="008958A7" w:rsidP="008958A7">
            <w:pPr>
              <w:tabs>
                <w:tab w:val="left" w:pos="0"/>
                <w:tab w:val="left" w:pos="512"/>
              </w:tabs>
              <w:suppressAutoHyphens w:val="0"/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12"/>
                <w:szCs w:val="24"/>
                <w:lang w:val="uk-UA" w:eastAsia="en-US"/>
              </w:rPr>
            </w:pPr>
          </w:p>
          <w:p w14:paraId="3CE5E493" w14:textId="77777777" w:rsidR="008958A7" w:rsidRPr="008958A7" w:rsidRDefault="008958A7" w:rsidP="008958A7">
            <w:pPr>
              <w:tabs>
                <w:tab w:val="left" w:pos="459"/>
              </w:tabs>
              <w:suppressAutoHyphens w:val="0"/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2. </w:t>
            </w: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Прийом та видача документів для надання адміністративних послуг здійснюються:</w:t>
            </w:r>
          </w:p>
          <w:p w14:paraId="5A7EC187" w14:textId="77777777" w:rsidR="008958A7" w:rsidRPr="008958A7" w:rsidRDefault="008958A7" w:rsidP="008958A7">
            <w:pPr>
              <w:tabs>
                <w:tab w:val="left" w:pos="318"/>
              </w:tabs>
              <w:suppressAutoHyphens w:val="0"/>
              <w:spacing w:after="0" w:line="240" w:lineRule="auto"/>
              <w:ind w:right="57"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67BB5171" w14:textId="77777777" w:rsidR="008958A7" w:rsidRDefault="008958A7" w:rsidP="0089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8958A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6247F9E5" w14:textId="4832A3C1" w:rsidR="00F453E0" w:rsidRPr="00C20350" w:rsidRDefault="00F453E0" w:rsidP="008958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</w:pPr>
            <w:r w:rsidRPr="00F453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8533CC" w:rsidRPr="00AE1E5E" w14:paraId="6475CEC2" w14:textId="77777777" w:rsidTr="004B1992">
        <w:trPr>
          <w:trHeight w:val="2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F5788E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E9310" w14:textId="77777777" w:rsidR="008533CC" w:rsidRPr="00AE1E5E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 xml:space="preserve">Телефон/факс (довідки), адреса електронної пошти та веб-сайт Центру 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C9E7D" w14:textId="77777777" w:rsidR="008533CC" w:rsidRPr="00AE1E5E" w:rsidRDefault="008533CC" w:rsidP="00F36E7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  <w:t>Тел.: 0-800-500-459;</w:t>
            </w:r>
          </w:p>
          <w:p w14:paraId="5D58D46F" w14:textId="77777777" w:rsidR="008533CC" w:rsidRPr="00AE1E5E" w:rsidRDefault="00A428B2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</w:rPr>
            </w:pPr>
            <w:hyperlink r:id="rId7" w:history="1">
              <w:r w:rsidR="00E96F10" w:rsidRPr="00AE1E5E">
                <w:rPr>
                  <w:rStyle w:val="a3"/>
                  <w:rFonts w:ascii="Times New Roman" w:hAnsi="Times New Roman" w:cs="Times New Roman"/>
                  <w:sz w:val="24"/>
                  <w:szCs w:val="24"/>
                  <w:highlight w:val="white"/>
                  <w:shd w:val="clear" w:color="auto" w:fill="00FF00"/>
                </w:rPr>
                <w:t>viza@kr.gov.ua</w:t>
              </w:r>
            </w:hyperlink>
          </w:p>
          <w:p w14:paraId="33DA9AEA" w14:textId="77777777" w:rsidR="00E96F10" w:rsidRPr="00AE1E5E" w:rsidRDefault="00E96F10" w:rsidP="00D85BA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u w:val="single"/>
              </w:rPr>
              <w:t>http://viza.kr.gov.ua</w:t>
            </w:r>
          </w:p>
        </w:tc>
      </w:tr>
      <w:tr w:rsidR="008533CC" w:rsidRPr="00AE1E5E" w14:paraId="419C64CF" w14:textId="77777777" w:rsidTr="00B61FA1">
        <w:trPr>
          <w:trHeight w:val="192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9DAD2" w14:textId="77777777" w:rsidR="008533CC" w:rsidRPr="00AE1E5E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Нормативні акти, якими регламентується надання публічної послуги</w:t>
            </w:r>
          </w:p>
        </w:tc>
      </w:tr>
      <w:tr w:rsidR="008533CC" w:rsidRPr="00AE1E5E" w14:paraId="0445CC67" w14:textId="77777777" w:rsidTr="004B1992">
        <w:trPr>
          <w:trHeight w:val="54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42DB8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4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AC17D" w14:textId="77777777" w:rsidR="008533CC" w:rsidRPr="00AE1E5E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Кодекси, Закони України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34F25" w14:textId="77777777" w:rsidR="008533CC" w:rsidRDefault="008533CC" w:rsidP="003F4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Закон України «Про </w:t>
            </w:r>
            <w:r w:rsidR="001E11D5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компенсацію за пошкодження та знищення окремих категорій об’єктів нерухомого майна 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внаслідок бойових дій, терористичних актів, диверсій,</w:t>
            </w:r>
            <w:r w:rsidR="00F36E7F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спричинених збройною агресією Російської Ф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України, та Державний реєстр майна, пошкодженого</w:t>
            </w:r>
            <w:r w:rsidR="00F36E7F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та знищеного внаслідок бойових дій, терористичних актів, диверсій, спричинених збройною агресією </w:t>
            </w:r>
            <w:r w:rsidR="00113611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осійської </w:t>
            </w:r>
            <w:r w:rsidR="00113611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Ф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едерації проти України</w:t>
            </w:r>
            <w:r w:rsidR="00D73D38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330FF2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, </w:t>
            </w:r>
            <w:r w:rsidR="00330FF2" w:rsidRPr="00330F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en-US"/>
              </w:rPr>
              <w:t>Закон України «Про адміністративну процедуру»</w:t>
            </w:r>
            <w:r w:rsidR="006C1412" w:rsidRPr="00330FF2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</w:p>
          <w:p w14:paraId="760DA37C" w14:textId="4C7600A3" w:rsidR="00F453E0" w:rsidRPr="00AE1E5E" w:rsidRDefault="00F453E0" w:rsidP="003F4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</w:p>
        </w:tc>
      </w:tr>
      <w:tr w:rsidR="008533CC" w:rsidRPr="00C20350" w14:paraId="6B0BCDE3" w14:textId="77777777" w:rsidTr="004B1992">
        <w:trPr>
          <w:trHeight w:val="14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F44BE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CDEC7" w14:textId="77777777" w:rsidR="008533CC" w:rsidRPr="00AE1E5E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Кабінету Міністрів України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28AF" w14:textId="77777777" w:rsidR="008533CC" w:rsidRDefault="008533CC" w:rsidP="00F453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  <w:r w:rsidR="003F4C94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ПКМУ від 21.04.2023 № 381 «Про затвердження Порядку надання компенсації для відновлення окремих категорій об’єктів нерухомого майна, пошкоджених </w:t>
            </w:r>
            <w:r w:rsidR="003F4C94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внаслідок бойових дій, терористичних актів, диверсій, спричинених збройною агресією Російської Федерації, з використ</w:t>
            </w:r>
            <w:bookmarkStart w:id="0" w:name="_GoBack"/>
            <w:bookmarkEnd w:id="0"/>
            <w:r w:rsidR="003F4C94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анням електронної публічної послуги єВідновлення»</w:t>
            </w:r>
            <w:r w:rsidR="00C363A6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зі змінами</w:t>
            </w:r>
          </w:p>
          <w:p w14:paraId="40BB4326" w14:textId="3439B0B7" w:rsidR="00F453E0" w:rsidRPr="00AE1E5E" w:rsidRDefault="00F453E0" w:rsidP="00F453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</w:p>
        </w:tc>
      </w:tr>
      <w:tr w:rsidR="008533CC" w:rsidRPr="00AE1E5E" w14:paraId="2E961B16" w14:textId="77777777" w:rsidTr="004B1992">
        <w:trPr>
          <w:trHeight w:val="59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66970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6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67BDCA" w14:textId="77777777" w:rsidR="008533CC" w:rsidRPr="00AE1E5E" w:rsidRDefault="008533CC" w:rsidP="006A547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8A887" w14:textId="77777777" w:rsidR="008533CC" w:rsidRPr="00AE1E5E" w:rsidRDefault="008533CC" w:rsidP="00F36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-</w:t>
            </w:r>
          </w:p>
        </w:tc>
      </w:tr>
      <w:tr w:rsidR="008533CC" w:rsidRPr="00C20350" w14:paraId="3F6B769C" w14:textId="77777777" w:rsidTr="004B1992">
        <w:trPr>
          <w:trHeight w:val="77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9DEE0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7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0826F1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Акти місцевих органів виконавчої влади/органів</w:t>
            </w:r>
          </w:p>
          <w:p w14:paraId="1CCAD726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місцевого самоврядування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A05A" w14:textId="77777777" w:rsidR="00FC71CA" w:rsidRPr="00AE1E5E" w:rsidRDefault="008533CC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Рішення </w:t>
            </w:r>
            <w:r w:rsidR="00F36E7F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виконкому </w:t>
            </w: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Криворізької міської ради від </w:t>
            </w:r>
            <w:r w:rsidR="00040AE1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17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.0</w:t>
            </w:r>
            <w:r w:rsidR="00040AE1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.2023</w:t>
            </w: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№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="00040AE1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592</w:t>
            </w: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«Про затвердження Порядк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у розгляду заяв про надання компенсації </w:t>
            </w:r>
            <w:r w:rsidR="00040AE1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      </w:r>
            <w:r w:rsidR="00FC71CA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»</w:t>
            </w:r>
            <w:r w:rsidR="00D85BAC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, зі змінами</w:t>
            </w:r>
            <w:r w:rsidR="00F36E7F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;</w:t>
            </w:r>
          </w:p>
          <w:p w14:paraId="75906479" w14:textId="77777777" w:rsidR="008533CC" w:rsidRPr="00AE1E5E" w:rsidRDefault="00C3025A" w:rsidP="00F36E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</w:t>
            </w:r>
            <w:r w:rsidR="00FC71CA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ішення Криворізької міської ради</w:t>
            </w:r>
            <w:r w:rsidR="008533CC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від 31.03.2016 № 381 «Про обсяг і межі повноважень районних у місті рад та їх виконавчих органів», зі змінами</w:t>
            </w:r>
            <w:r w:rsidR="001A3CA0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</w:tc>
      </w:tr>
      <w:tr w:rsidR="008533CC" w:rsidRPr="00AE1E5E" w14:paraId="02B0F349" w14:textId="77777777" w:rsidTr="00B61FA1">
        <w:trPr>
          <w:trHeight w:val="90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13DE" w14:textId="77777777" w:rsidR="008533CC" w:rsidRPr="00AE1E5E" w:rsidRDefault="008533CC" w:rsidP="00F36E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white"/>
                <w:shd w:val="clear" w:color="auto" w:fill="00FF00"/>
                <w:lang w:val="uk-UA"/>
              </w:rPr>
              <w:t>Умови отримання публічної послуги</w:t>
            </w:r>
          </w:p>
        </w:tc>
      </w:tr>
      <w:tr w:rsidR="008533CC" w:rsidRPr="00AE1E5E" w14:paraId="6AF51E61" w14:textId="77777777" w:rsidTr="004B1992">
        <w:trPr>
          <w:trHeight w:val="50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1DD82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8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4BA198" w14:textId="77777777" w:rsidR="008533CC" w:rsidRPr="00AE1E5E" w:rsidRDefault="00F36E7F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Підстава для одержання публіч</w:t>
            </w:r>
            <w:r w:rsidR="008533CC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2F4C5" w14:textId="77777777" w:rsidR="008533CC" w:rsidRPr="00AE1E5E" w:rsidRDefault="008533CC" w:rsidP="00040A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Заява </w:t>
            </w:r>
            <w:r w:rsidR="00040AE1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про пошкоджений об’єкт в рамках електронної публічної послуги «єВідновлення».</w:t>
            </w:r>
          </w:p>
        </w:tc>
      </w:tr>
      <w:tr w:rsidR="008533CC" w:rsidRPr="00C20350" w14:paraId="24B8AC78" w14:textId="77777777" w:rsidTr="004B1992">
        <w:trPr>
          <w:trHeight w:val="6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B5E5B" w14:textId="77777777" w:rsidR="008533CC" w:rsidRPr="00AE1E5E" w:rsidRDefault="008533CC" w:rsidP="00D85BA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9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FB148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9A977" w14:textId="77777777" w:rsidR="00F453E0" w:rsidRDefault="008533CC" w:rsidP="00F453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- </w:t>
            </w:r>
            <w:r w:rsidR="00DE2255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заява, </w:t>
            </w:r>
            <w:r w:rsidR="00472830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сформована засобами Порталу Д</w:t>
            </w:r>
            <w:r w:rsidR="00DE2255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ія, зокрема з використанням мобільного додатка Порталу Дія (Дія)</w:t>
            </w:r>
            <w:r w:rsidR="00B16CD9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, або заява, подана до Центру надання адміністративних послуг «Віза» («Центр Дії) виконкому Криворізької міської ради</w:t>
            </w:r>
            <w:r w:rsidR="003F4C94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  <w:r w:rsidR="00B16CD9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</w:p>
          <w:p w14:paraId="4CC10A65" w14:textId="6AD6A4B5" w:rsidR="00DE2255" w:rsidRPr="00AE1E5E" w:rsidRDefault="00DE2255" w:rsidP="00F453E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- згода співвласників об’єкта нерухомого майна на отримання компенсації заявником (у разі спільної власності на об’єкт нерухомого майна)</w:t>
            </w:r>
            <w:r w:rsidR="00B16CD9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.</w:t>
            </w:r>
          </w:p>
        </w:tc>
      </w:tr>
      <w:tr w:rsidR="008533CC" w:rsidRPr="00AE1E5E" w14:paraId="6C64A041" w14:textId="77777777" w:rsidTr="004B1992">
        <w:trPr>
          <w:trHeight w:val="5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D4106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lastRenderedPageBreak/>
              <w:t>10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45D52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Порядок та спосіб подання документів 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D9F9" w14:textId="11497DFA" w:rsidR="00C83E0F" w:rsidRPr="00AE1E5E" w:rsidRDefault="00C83E0F" w:rsidP="00FF1C6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Заява подається під час дії воєнного стану та протягом одного року з дня його припинення або скасування на території,</w:t>
            </w:r>
            <w:r w:rsidR="006C1412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 якій розташований (розташову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вався) знищений </w:t>
            </w:r>
            <w:r w:rsidR="00AE1E5E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об’єкт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нерухомого майна. Заява подається щодо кожного такого </w:t>
            </w:r>
            <w:r w:rsidR="00AE1E5E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об’єкта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нерухомого майна окремо: </w:t>
            </w:r>
          </w:p>
          <w:p w14:paraId="08B2EE5E" w14:textId="77777777" w:rsidR="00C83E0F" w:rsidRPr="00AE1E5E" w:rsidRDefault="00C83E0F" w:rsidP="00FF1C60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в електронній формі - </w:t>
            </w:r>
            <w:r w:rsidR="00CD5ECB" w:rsidRPr="00AE1E5E"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white"/>
                <w:shd w:val="clear" w:color="auto" w:fill="00FF00"/>
                <w:lang w:val="uk-UA"/>
              </w:rPr>
              <w:t>засобами Порталу Дія, зокрема з використанням мобільного додатка Порталу Дія (Дія)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</w:p>
          <w:p w14:paraId="536F3582" w14:textId="77777777" w:rsidR="00C83E0F" w:rsidRPr="00AE1E5E" w:rsidRDefault="00C83E0F" w:rsidP="003F4C94">
            <w:pPr>
              <w:snapToGrid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у паперовій формі - через Центр адміністративних послуг «Віза» </w:t>
            </w:r>
            <w:r w:rsidR="00D73D38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(«Центр Дії») виконкому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Криворізької міської ради </w:t>
            </w:r>
            <w:r w:rsidR="003F4C94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особисто або через представника (законного представника).</w:t>
            </w:r>
          </w:p>
        </w:tc>
      </w:tr>
      <w:tr w:rsidR="008533CC" w:rsidRPr="00AE1E5E" w14:paraId="506FF450" w14:textId="77777777" w:rsidTr="004B199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4CA42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11</w:t>
            </w:r>
          </w:p>
          <w:p w14:paraId="14B02E81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CD53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Платність/безоплатність публічної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5C769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Безоплатно</w:t>
            </w:r>
          </w:p>
        </w:tc>
      </w:tr>
      <w:tr w:rsidR="008533CC" w:rsidRPr="00AE1E5E" w14:paraId="3ACC4D82" w14:textId="77777777" w:rsidTr="004B199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C93DA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12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C0F687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Строк надання публічної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E54E9" w14:textId="77777777" w:rsidR="00D42084" w:rsidRPr="00AE1E5E" w:rsidRDefault="00050907" w:rsidP="00E636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30</w:t>
            </w:r>
            <w:r w:rsidR="00E636C7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календарних</w:t>
            </w:r>
            <w:r w:rsidR="001F19D8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днів</w:t>
            </w:r>
            <w:r w:rsidR="00D42084"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;</w:t>
            </w:r>
          </w:p>
        </w:tc>
      </w:tr>
      <w:tr w:rsidR="008533CC" w:rsidRPr="00AE1E5E" w14:paraId="77A3E8D0" w14:textId="77777777" w:rsidTr="004B199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63D0E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13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3135" w14:textId="025AA94B" w:rsidR="008533CC" w:rsidRPr="00AE1E5E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Перелік підстав для відмови в наданні публічної</w:t>
            </w:r>
            <w:r w:rsid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 xml:space="preserve"> </w:t>
            </w: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9800B" w14:textId="77777777" w:rsidR="00FF1C60" w:rsidRPr="00AE1E5E" w:rsidRDefault="00FF1C60" w:rsidP="002B72BC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подання заяви про нада</w:t>
            </w:r>
            <w:r w:rsidR="001405AF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ння компенсації 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особою, яка не може бути отримувачем компенсації, </w:t>
            </w:r>
            <w:r w:rsidR="00CF3324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відповідно до Порядку 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або не має повноважень для подання заяви;</w:t>
            </w:r>
          </w:p>
          <w:p w14:paraId="7061EBE7" w14:textId="0C19F7D5" w:rsidR="008533CC" w:rsidRPr="00AE1E5E" w:rsidRDefault="00FF1C60" w:rsidP="00CF3324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виявлення недостовірних даних, зазначених у заяві про надання компенсації за </w:t>
            </w:r>
            <w:r w:rsidR="00CF3324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пошкоджений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AE1E5E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об’єкт</w:t>
            </w: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</w:tr>
      <w:tr w:rsidR="008533CC" w:rsidRPr="00AE1E5E" w14:paraId="4D6FDAE6" w14:textId="77777777" w:rsidTr="004B1992">
        <w:trPr>
          <w:trHeight w:val="28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762FB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14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0D14EC" w14:textId="77777777" w:rsidR="008533CC" w:rsidRPr="00AE1E5E" w:rsidRDefault="008533CC" w:rsidP="00B61FA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Результат надання публічної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5E20" w14:textId="77777777" w:rsidR="008533CC" w:rsidRPr="00AE1E5E" w:rsidRDefault="00113611" w:rsidP="002B72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Внесення р</w:t>
            </w:r>
            <w:r w:rsidR="001F19D8" w:rsidRPr="00AE1E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ішення про надання/відмову в наданні компенсації </w:t>
            </w:r>
            <w:r w:rsidRPr="00AE1E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реєстру пошкодженого та знищеного майна.</w:t>
            </w:r>
          </w:p>
        </w:tc>
      </w:tr>
      <w:tr w:rsidR="008533CC" w:rsidRPr="00C20350" w14:paraId="7B4399DC" w14:textId="77777777" w:rsidTr="004B1992">
        <w:trPr>
          <w:trHeight w:val="42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D8B43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15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445DCA" w14:textId="77777777" w:rsidR="008533CC" w:rsidRPr="00AE1E5E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Спосіб отримання результату надання публічної послуги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A7DAE" w14:textId="77777777" w:rsidR="00D82EB7" w:rsidRPr="00AE1E5E" w:rsidRDefault="002B72BC" w:rsidP="00D82EB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r w:rsidR="00D82EB7"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повідомлення засобами Порталу Дія, зокрема з використанням мобільного додатка Порталу Дія (Дія);</w:t>
            </w:r>
          </w:p>
          <w:p w14:paraId="1ECEB6B2" w14:textId="0AF432D6" w:rsidR="008533CC" w:rsidRPr="00AE1E5E" w:rsidRDefault="00D82EB7" w:rsidP="00D82EB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AE1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 у разі подання заяви в паперовій формі повідомлення доводяться до відома отримувача компенсації у письмовій формі комісією, що прийняла таке рішення, не пізніше ніж протягом наступного робочого дня з дати прийняття відповідного рішення.</w:t>
            </w:r>
          </w:p>
        </w:tc>
      </w:tr>
      <w:tr w:rsidR="008533CC" w:rsidRPr="00AE1E5E" w14:paraId="3528EC7D" w14:textId="77777777" w:rsidTr="004B199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728CE6" w14:textId="77777777" w:rsidR="008533CC" w:rsidRPr="00AE1E5E" w:rsidRDefault="008533CC" w:rsidP="00F36E7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16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436B0" w14:textId="77777777" w:rsidR="008533CC" w:rsidRPr="00AE1E5E" w:rsidRDefault="008533CC" w:rsidP="00F36E7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</w:pPr>
            <w:r w:rsidRPr="00AE1E5E">
              <w:rPr>
                <w:rFonts w:ascii="Times New Roman" w:hAnsi="Times New Roman" w:cs="Times New Roman"/>
                <w:sz w:val="24"/>
                <w:szCs w:val="24"/>
                <w:highlight w:val="white"/>
                <w:shd w:val="clear" w:color="auto" w:fill="00FF00"/>
                <w:lang w:val="uk-UA"/>
              </w:rPr>
              <w:t>Примітка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7158C" w14:textId="77777777" w:rsidR="00644205" w:rsidRPr="00644205" w:rsidRDefault="00644205" w:rsidP="00644205">
            <w:pPr>
              <w:pStyle w:val="a5"/>
              <w:ind w:firstLine="3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42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Заявник може бути залучений до розгляду справи за необхідністю.</w:t>
            </w:r>
          </w:p>
          <w:p w14:paraId="0F2BC1FA" w14:textId="77777777" w:rsidR="00DF17BF" w:rsidRDefault="00644205" w:rsidP="00DF17BF">
            <w:pPr>
              <w:pStyle w:val="a5"/>
              <w:ind w:firstLine="3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42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14:paraId="4F9A9216" w14:textId="43AD4A03" w:rsidR="001556B3" w:rsidRPr="00F453E0" w:rsidRDefault="001556B3" w:rsidP="00F453E0">
            <w:pPr>
              <w:pStyle w:val="a5"/>
              <w:ind w:firstLine="32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56B3">
              <w:rPr>
                <w:rFonts w:ascii="Times New Roman" w:hAnsi="Times New Roman" w:cs="Times New Roman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</w:t>
            </w:r>
            <w:r w:rsidR="00DF17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556B3">
              <w:rPr>
                <w:rFonts w:ascii="Times New Roman" w:hAnsi="Times New Roman" w:cs="Times New Roman"/>
                <w:sz w:val="24"/>
                <w:szCs w:val="24"/>
              </w:rPr>
              <w:t xml:space="preserve"> справі індивідуально.</w:t>
            </w:r>
          </w:p>
          <w:p w14:paraId="6502BD66" w14:textId="630D0C20" w:rsidR="008533CC" w:rsidRPr="00644205" w:rsidRDefault="008533CC" w:rsidP="00F36E7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</w:tbl>
    <w:p w14:paraId="3673BDED" w14:textId="77777777" w:rsidR="00F453E0" w:rsidRDefault="00F453E0" w:rsidP="00EF622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14:paraId="180C73B3" w14:textId="2A0C5709" w:rsidR="00EF6222" w:rsidRPr="00AE1E5E" w:rsidRDefault="00C3025A" w:rsidP="00EF622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>Керуюч</w:t>
      </w:r>
      <w:r w:rsidR="00EF6222"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>а</w:t>
      </w:r>
      <w:r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справами виконкому</w:t>
      </w:r>
    </w:p>
    <w:p w14:paraId="23AF6747" w14:textId="2779CE9D" w:rsidR="00C3025A" w:rsidRPr="00EA33DA" w:rsidRDefault="00EF6222" w:rsidP="00EA33DA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  <w:r w:rsidR="00C3025A"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  <w:r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>Алла Г</w:t>
      </w:r>
      <w:r w:rsidR="00030A5E" w:rsidRPr="00AE1E5E">
        <w:rPr>
          <w:rFonts w:ascii="Times New Roman" w:hAnsi="Times New Roman" w:cs="Times New Roman"/>
          <w:b/>
          <w:i/>
          <w:sz w:val="24"/>
          <w:szCs w:val="24"/>
          <w:lang w:val="uk-UA"/>
        </w:rPr>
        <w:t>ОЛОВАТА</w:t>
      </w:r>
    </w:p>
    <w:sectPr w:rsidR="00C3025A" w:rsidRPr="00EA33DA" w:rsidSect="00AE1E5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921F9" w14:textId="77777777" w:rsidR="005312BC" w:rsidRDefault="005312BC" w:rsidP="00C3025A">
      <w:pPr>
        <w:spacing w:after="0" w:line="240" w:lineRule="auto"/>
      </w:pPr>
      <w:r>
        <w:separator/>
      </w:r>
    </w:p>
  </w:endnote>
  <w:endnote w:type="continuationSeparator" w:id="0">
    <w:p w14:paraId="4694992F" w14:textId="77777777" w:rsidR="005312BC" w:rsidRDefault="005312BC" w:rsidP="00C30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366F75" w14:textId="77777777" w:rsidR="005312BC" w:rsidRDefault="005312BC" w:rsidP="00C3025A">
      <w:pPr>
        <w:spacing w:after="0" w:line="240" w:lineRule="auto"/>
      </w:pPr>
      <w:r>
        <w:separator/>
      </w:r>
    </w:p>
  </w:footnote>
  <w:footnote w:type="continuationSeparator" w:id="0">
    <w:p w14:paraId="07730830" w14:textId="77777777" w:rsidR="005312BC" w:rsidRDefault="005312BC" w:rsidP="00C30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9CB63" w14:textId="7DE6C751" w:rsidR="004812EA" w:rsidRPr="00EA33DA" w:rsidRDefault="00EA33DA" w:rsidP="00EA33DA">
    <w:pPr>
      <w:pStyle w:val="aa"/>
      <w:tabs>
        <w:tab w:val="center" w:pos="4819"/>
        <w:tab w:val="left" w:pos="6510"/>
      </w:tabs>
      <w:rPr>
        <w:rFonts w:ascii="Times New Roman" w:hAnsi="Times New Roman" w:cs="Times New Roman"/>
        <w:sz w:val="24"/>
        <w:szCs w:val="24"/>
      </w:rPr>
    </w:pPr>
    <w:r>
      <w:tab/>
    </w:r>
    <w:r>
      <w:tab/>
    </w:r>
    <w:sdt>
      <w:sdtPr>
        <w:id w:val="875425240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13767F" w:rsidRPr="00EA33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767F" w:rsidRPr="00EA33D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13767F" w:rsidRPr="00EA33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28B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13767F" w:rsidRPr="00EA33D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  <w:lang w:val="uk-UA"/>
      </w:rPr>
      <w:t xml:space="preserve">Продовження додатка </w:t>
    </w:r>
    <w:r w:rsidR="00A428B2">
      <w:rPr>
        <w:rFonts w:ascii="Times New Roman" w:hAnsi="Times New Roman" w:cs="Times New Roman"/>
        <w:b/>
        <w:i/>
        <w:sz w:val="24"/>
        <w:szCs w:val="24"/>
        <w:lang w:val="uk-UA"/>
      </w:rPr>
      <w:t>101</w:t>
    </w:r>
  </w:p>
  <w:p w14:paraId="51CC698F" w14:textId="77777777" w:rsidR="004812EA" w:rsidRDefault="004812E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00F75"/>
    <w:multiLevelType w:val="hybridMultilevel"/>
    <w:tmpl w:val="1442A026"/>
    <w:lvl w:ilvl="0" w:tplc="5A90AEF8">
      <w:numFmt w:val="bullet"/>
      <w:lvlText w:val="-"/>
      <w:lvlJc w:val="left"/>
      <w:pPr>
        <w:ind w:left="785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48327301"/>
    <w:multiLevelType w:val="hybridMultilevel"/>
    <w:tmpl w:val="74A42948"/>
    <w:lvl w:ilvl="0" w:tplc="A0987D10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60C80"/>
    <w:multiLevelType w:val="multilevel"/>
    <w:tmpl w:val="8312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C546D"/>
    <w:multiLevelType w:val="multilevel"/>
    <w:tmpl w:val="6246B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F63316"/>
    <w:multiLevelType w:val="multilevel"/>
    <w:tmpl w:val="2E967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98725D"/>
    <w:multiLevelType w:val="multilevel"/>
    <w:tmpl w:val="3D7A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A92658"/>
    <w:multiLevelType w:val="multilevel"/>
    <w:tmpl w:val="6B40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B01519"/>
    <w:multiLevelType w:val="hybridMultilevel"/>
    <w:tmpl w:val="500658C6"/>
    <w:lvl w:ilvl="0" w:tplc="147E8798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7262A4"/>
    <w:multiLevelType w:val="multilevel"/>
    <w:tmpl w:val="FCE23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9B0EA7"/>
    <w:multiLevelType w:val="hybridMultilevel"/>
    <w:tmpl w:val="20EC87FC"/>
    <w:lvl w:ilvl="0" w:tplc="6720AE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C2E"/>
    <w:rsid w:val="00030A5E"/>
    <w:rsid w:val="00040AE1"/>
    <w:rsid w:val="00050907"/>
    <w:rsid w:val="000D02E9"/>
    <w:rsid w:val="000D5210"/>
    <w:rsid w:val="00113611"/>
    <w:rsid w:val="0013767F"/>
    <w:rsid w:val="001405AF"/>
    <w:rsid w:val="001556B3"/>
    <w:rsid w:val="00182DEB"/>
    <w:rsid w:val="001A3CA0"/>
    <w:rsid w:val="001C5308"/>
    <w:rsid w:val="001E11D5"/>
    <w:rsid w:val="001F19D8"/>
    <w:rsid w:val="00235AEC"/>
    <w:rsid w:val="002B4AA8"/>
    <w:rsid w:val="002B72BC"/>
    <w:rsid w:val="00330FF2"/>
    <w:rsid w:val="00332A76"/>
    <w:rsid w:val="003A34B3"/>
    <w:rsid w:val="003F4C94"/>
    <w:rsid w:val="00472830"/>
    <w:rsid w:val="004812EA"/>
    <w:rsid w:val="004B1992"/>
    <w:rsid w:val="005312BC"/>
    <w:rsid w:val="00574C80"/>
    <w:rsid w:val="00585E2C"/>
    <w:rsid w:val="005E3A8B"/>
    <w:rsid w:val="005E7E85"/>
    <w:rsid w:val="00625BD2"/>
    <w:rsid w:val="0063769C"/>
    <w:rsid w:val="00644205"/>
    <w:rsid w:val="00693650"/>
    <w:rsid w:val="006A547B"/>
    <w:rsid w:val="006C1412"/>
    <w:rsid w:val="006F4E84"/>
    <w:rsid w:val="00711C2E"/>
    <w:rsid w:val="0075656E"/>
    <w:rsid w:val="007D7D7E"/>
    <w:rsid w:val="008131F6"/>
    <w:rsid w:val="00825B3E"/>
    <w:rsid w:val="008533CC"/>
    <w:rsid w:val="00887AE7"/>
    <w:rsid w:val="008958A7"/>
    <w:rsid w:val="008E16A1"/>
    <w:rsid w:val="00921F4B"/>
    <w:rsid w:val="00947959"/>
    <w:rsid w:val="00963510"/>
    <w:rsid w:val="009D6937"/>
    <w:rsid w:val="00A11CF7"/>
    <w:rsid w:val="00A428B2"/>
    <w:rsid w:val="00A54C77"/>
    <w:rsid w:val="00AE1E5E"/>
    <w:rsid w:val="00B16CD9"/>
    <w:rsid w:val="00B61FA1"/>
    <w:rsid w:val="00B74095"/>
    <w:rsid w:val="00B80400"/>
    <w:rsid w:val="00B96421"/>
    <w:rsid w:val="00BD5BAE"/>
    <w:rsid w:val="00C20350"/>
    <w:rsid w:val="00C2080B"/>
    <w:rsid w:val="00C3025A"/>
    <w:rsid w:val="00C363A6"/>
    <w:rsid w:val="00C442E3"/>
    <w:rsid w:val="00C83E0F"/>
    <w:rsid w:val="00CD5ECB"/>
    <w:rsid w:val="00CF3324"/>
    <w:rsid w:val="00D42084"/>
    <w:rsid w:val="00D52AAB"/>
    <w:rsid w:val="00D73D38"/>
    <w:rsid w:val="00D82EB7"/>
    <w:rsid w:val="00D85BAC"/>
    <w:rsid w:val="00DD59C4"/>
    <w:rsid w:val="00DE2255"/>
    <w:rsid w:val="00DF17BF"/>
    <w:rsid w:val="00DF7ED0"/>
    <w:rsid w:val="00E636C7"/>
    <w:rsid w:val="00E96F10"/>
    <w:rsid w:val="00EA33DA"/>
    <w:rsid w:val="00EB47FC"/>
    <w:rsid w:val="00EF6222"/>
    <w:rsid w:val="00F24B8B"/>
    <w:rsid w:val="00F36E7F"/>
    <w:rsid w:val="00F453E0"/>
    <w:rsid w:val="00F8405E"/>
    <w:rsid w:val="00FB20CC"/>
    <w:rsid w:val="00FC71CA"/>
    <w:rsid w:val="00FD13FC"/>
    <w:rsid w:val="00FD62A5"/>
    <w:rsid w:val="00FF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94C30C"/>
  <w15:docId w15:val="{E761CEF9-BB8B-4AA0-9B2F-2B80E53E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3CC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533CC"/>
    <w:rPr>
      <w:color w:val="0000FF"/>
      <w:u w:val="single"/>
    </w:rPr>
  </w:style>
  <w:style w:type="character" w:styleId="a4">
    <w:name w:val="Emphasis"/>
    <w:basedOn w:val="a0"/>
    <w:qFormat/>
    <w:rsid w:val="008533CC"/>
    <w:rPr>
      <w:i/>
      <w:iCs/>
    </w:rPr>
  </w:style>
  <w:style w:type="paragraph" w:styleId="a5">
    <w:name w:val="No Spacing"/>
    <w:uiPriority w:val="1"/>
    <w:qFormat/>
    <w:rsid w:val="008533CC"/>
    <w:pPr>
      <w:suppressAutoHyphens/>
      <w:spacing w:after="0" w:line="240" w:lineRule="auto"/>
    </w:pPr>
    <w:rPr>
      <w:rFonts w:ascii="Calibri" w:eastAsia="Calibri" w:hAnsi="Calibri" w:cs="Calibri"/>
      <w:lang w:val="uk-UA" w:eastAsia="ar-SA"/>
    </w:rPr>
  </w:style>
  <w:style w:type="paragraph" w:styleId="a6">
    <w:name w:val="Normal (Web)"/>
    <w:basedOn w:val="a"/>
    <w:uiPriority w:val="99"/>
    <w:unhideWhenUsed/>
    <w:rsid w:val="00332A7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7E85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E96F10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C30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3025A"/>
    <w:rPr>
      <w:rFonts w:ascii="Tahoma" w:eastAsia="Calibri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C3025A"/>
    <w:rPr>
      <w:rFonts w:ascii="Calibri" w:eastAsia="Calibri" w:hAnsi="Calibri" w:cs="Calibri"/>
      <w:lang w:eastAsia="ar-SA"/>
    </w:rPr>
  </w:style>
  <w:style w:type="paragraph" w:styleId="ac">
    <w:name w:val="footer"/>
    <w:basedOn w:val="a"/>
    <w:link w:val="ad"/>
    <w:uiPriority w:val="99"/>
    <w:unhideWhenUsed/>
    <w:rsid w:val="00C30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C3025A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4242</Words>
  <Characters>2418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Vikonkom</cp:lastModifiedBy>
  <cp:revision>44</cp:revision>
  <cp:lastPrinted>2026-01-07T11:39:00Z</cp:lastPrinted>
  <dcterms:created xsi:type="dcterms:W3CDTF">2023-05-22T05:59:00Z</dcterms:created>
  <dcterms:modified xsi:type="dcterms:W3CDTF">2026-01-07T11:39:00Z</dcterms:modified>
</cp:coreProperties>
</file>